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F784E">
      <w:pPr>
        <w:pStyle w:val="9"/>
        <w:bidi w:val="0"/>
        <w:rPr>
          <w:rFonts w:hint="eastAsia" w:eastAsia="方正小标宋简体"/>
          <w:lang w:eastAsia="zh-CN"/>
        </w:rPr>
      </w:pPr>
      <w:r>
        <w:rPr>
          <w:rFonts w:hint="eastAsia"/>
        </w:rPr>
        <w:t>行政权力事项委托协议书</w:t>
      </w:r>
      <w:bookmarkStart w:id="0" w:name="_GoBack"/>
      <w:bookmarkEnd w:id="0"/>
    </w:p>
    <w:p w14:paraId="5EA68AE2">
      <w:pPr>
        <w:ind w:left="0" w:leftChars="0" w:firstLine="0" w:firstLineChars="0"/>
        <w:rPr>
          <w:rFonts w:hint="eastAsia"/>
        </w:rPr>
      </w:pPr>
    </w:p>
    <w:p w14:paraId="0F9C43EB">
      <w:pPr>
        <w:ind w:left="0" w:leftChars="0" w:firstLine="0" w:firstLineChars="0"/>
        <w:rPr>
          <w:rFonts w:hint="default" w:eastAsia="仿宋"/>
          <w:lang w:val="en-US" w:eastAsia="zh-CN"/>
        </w:rPr>
      </w:pPr>
      <w:r>
        <w:rPr>
          <w:rFonts w:hint="eastAsia"/>
        </w:rPr>
        <w:t>委托单位：</w:t>
      </w:r>
      <w:r>
        <w:rPr>
          <w:rFonts w:hint="eastAsia"/>
          <w:lang w:val="en-US" w:eastAsia="zh-CN"/>
        </w:rPr>
        <w:t>南阳市林业局</w:t>
      </w:r>
    </w:p>
    <w:p w14:paraId="3C8DDAFA">
      <w:pPr>
        <w:ind w:left="0" w:leftChars="0" w:firstLine="0" w:firstLineChars="0"/>
        <w:rPr>
          <w:rFonts w:hint="default" w:eastAsia="仿宋"/>
          <w:lang w:val="en-US" w:eastAsia="zh-CN"/>
        </w:rPr>
      </w:pPr>
      <w:r>
        <w:rPr>
          <w:rFonts w:hint="eastAsia"/>
        </w:rPr>
        <w:t>地    址：</w:t>
      </w:r>
      <w:r>
        <w:rPr>
          <w:rFonts w:hint="eastAsia"/>
          <w:lang w:val="en-US" w:eastAsia="zh-CN"/>
        </w:rPr>
        <w:t>南阳市卧龙区滨河路7号</w:t>
      </w:r>
    </w:p>
    <w:p w14:paraId="39C44775">
      <w:pPr>
        <w:ind w:left="0" w:leftChars="0" w:firstLine="0" w:firstLineChars="0"/>
        <w:rPr>
          <w:rFonts w:hint="default" w:eastAsia="仿宋"/>
          <w:lang w:val="en-US" w:eastAsia="zh-CN"/>
        </w:rPr>
      </w:pPr>
      <w:r>
        <w:rPr>
          <w:rFonts w:hint="eastAsia"/>
        </w:rPr>
        <w:t>受委托单位：</w:t>
      </w:r>
      <w:r>
        <w:rPr>
          <w:rFonts w:hint="eastAsia"/>
          <w:lang w:val="en-US" w:eastAsia="zh-CN"/>
        </w:rPr>
        <w:t>南阳伏牛山地质公园保护发展中心</w:t>
      </w:r>
    </w:p>
    <w:p w14:paraId="39726803">
      <w:pPr>
        <w:ind w:left="0" w:leftChars="0" w:firstLine="0" w:firstLineChars="0"/>
        <w:rPr>
          <w:rFonts w:hint="eastAsia"/>
          <w:lang w:val="en-US" w:eastAsia="zh-CN"/>
        </w:rPr>
      </w:pPr>
      <w:r>
        <w:rPr>
          <w:rFonts w:hint="eastAsia"/>
        </w:rPr>
        <w:t>地    址：</w:t>
      </w:r>
      <w:r>
        <w:rPr>
          <w:rFonts w:hint="eastAsia"/>
          <w:lang w:val="en-US" w:eastAsia="zh-CN"/>
        </w:rPr>
        <w:t>南阳市卧龙区滨河路7号</w:t>
      </w:r>
    </w:p>
    <w:p w14:paraId="78ADB690">
      <w:pPr>
        <w:bidi w:val="0"/>
        <w:rPr>
          <w:rFonts w:hint="eastAsia"/>
          <w:lang w:val="en-US" w:eastAsia="zh-CN"/>
        </w:rPr>
      </w:pPr>
      <w:r>
        <w:rPr>
          <w:rFonts w:hint="eastAsia"/>
          <w:lang w:val="en-US" w:eastAsia="zh-CN"/>
        </w:rPr>
        <w:t>为推动职能优化调整，进一步简政放权，依据《中华人民共和国行政处罚法》《古生物化石保护条例》《古生物化石保护条例实施办法》等规定，南阳市林业局将未经批准发掘古生物化石的处罚等8项行政处罚事项委托南阳伏牛山地质公园保护发展中心实施。</w:t>
      </w:r>
    </w:p>
    <w:p w14:paraId="2FC7B046">
      <w:pPr>
        <w:pStyle w:val="2"/>
        <w:bidi w:val="0"/>
        <w:rPr>
          <w:rFonts w:hint="eastAsia"/>
          <w:lang w:val="en-US" w:eastAsia="zh-CN"/>
        </w:rPr>
      </w:pPr>
      <w:r>
        <w:rPr>
          <w:rFonts w:hint="eastAsia"/>
          <w:lang w:val="en-US" w:eastAsia="zh-CN"/>
        </w:rPr>
        <w:t>一、委托事项</w:t>
      </w:r>
    </w:p>
    <w:tbl>
      <w:tblPr>
        <w:tblStyle w:val="5"/>
        <w:tblW w:w="10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96" w:type="dxa"/>
          <w:bottom w:w="56" w:type="dxa"/>
          <w:right w:w="96" w:type="dxa"/>
        </w:tblCellMar>
      </w:tblPr>
      <w:tblGrid>
        <w:gridCol w:w="752"/>
        <w:gridCol w:w="3154"/>
        <w:gridCol w:w="1192"/>
        <w:gridCol w:w="2554"/>
        <w:gridCol w:w="2913"/>
      </w:tblGrid>
      <w:tr w14:paraId="782E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jc w:val="center"/>
        </w:trPr>
        <w:tc>
          <w:tcPr>
            <w:tcW w:w="752"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4E57895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3154" w:type="dxa"/>
            <w:tcBorders>
              <w:top w:val="single" w:color="000000" w:sz="12" w:space="0"/>
              <w:left w:val="nil"/>
              <w:bottom w:val="single" w:color="000000" w:sz="8" w:space="0"/>
              <w:right w:val="single" w:color="000000" w:sz="8" w:space="0"/>
            </w:tcBorders>
            <w:shd w:val="clear" w:color="auto" w:fill="auto"/>
            <w:vAlign w:val="center"/>
          </w:tcPr>
          <w:p w14:paraId="6BB4773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职权名称</w:t>
            </w:r>
          </w:p>
        </w:tc>
        <w:tc>
          <w:tcPr>
            <w:tcW w:w="1192" w:type="dxa"/>
            <w:tcBorders>
              <w:top w:val="single" w:color="000000" w:sz="12" w:space="0"/>
              <w:left w:val="nil"/>
              <w:bottom w:val="single" w:color="000000" w:sz="8" w:space="0"/>
              <w:right w:val="single" w:color="000000" w:sz="8" w:space="0"/>
            </w:tcBorders>
            <w:shd w:val="clear" w:color="auto" w:fill="auto"/>
            <w:vAlign w:val="center"/>
          </w:tcPr>
          <w:p w14:paraId="67945E0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职权类别</w:t>
            </w:r>
          </w:p>
        </w:tc>
        <w:tc>
          <w:tcPr>
            <w:tcW w:w="2554" w:type="dxa"/>
            <w:tcBorders>
              <w:top w:val="single" w:color="000000" w:sz="12" w:space="0"/>
              <w:left w:val="nil"/>
              <w:bottom w:val="single" w:color="000000" w:sz="8" w:space="0"/>
              <w:right w:val="single" w:color="000000" w:sz="8" w:space="0"/>
            </w:tcBorders>
            <w:shd w:val="clear" w:color="auto" w:fill="auto"/>
            <w:vAlign w:val="center"/>
          </w:tcPr>
          <w:p w14:paraId="3E3FA76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法律依据</w:t>
            </w:r>
          </w:p>
        </w:tc>
        <w:tc>
          <w:tcPr>
            <w:tcW w:w="2913" w:type="dxa"/>
            <w:tcBorders>
              <w:top w:val="single" w:color="000000" w:sz="12" w:space="0"/>
              <w:left w:val="nil"/>
              <w:bottom w:val="single" w:color="000000" w:sz="8" w:space="0"/>
              <w:right w:val="single" w:color="000000" w:sz="12" w:space="0"/>
            </w:tcBorders>
            <w:shd w:val="clear" w:color="auto" w:fill="auto"/>
            <w:vAlign w:val="center"/>
          </w:tcPr>
          <w:p w14:paraId="6B9CE56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受委托单位</w:t>
            </w:r>
          </w:p>
        </w:tc>
      </w:tr>
      <w:tr w14:paraId="1D8E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752" w:type="dxa"/>
            <w:tcBorders>
              <w:top w:val="nil"/>
              <w:left w:val="single" w:color="000000" w:sz="12" w:space="0"/>
              <w:bottom w:val="single" w:color="000000" w:sz="8" w:space="0"/>
              <w:right w:val="single" w:color="000000" w:sz="8" w:space="0"/>
            </w:tcBorders>
            <w:shd w:val="clear" w:color="auto" w:fill="auto"/>
            <w:vAlign w:val="center"/>
          </w:tcPr>
          <w:p w14:paraId="72F6E58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154" w:type="dxa"/>
            <w:tcBorders>
              <w:top w:val="nil"/>
              <w:left w:val="nil"/>
              <w:bottom w:val="single" w:color="000000" w:sz="8" w:space="0"/>
              <w:right w:val="single" w:color="000000" w:sz="8" w:space="0"/>
            </w:tcBorders>
            <w:shd w:val="clear" w:color="auto" w:fill="auto"/>
            <w:vAlign w:val="center"/>
          </w:tcPr>
          <w:p w14:paraId="71878BD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未经批准发掘古生物化石的；未按照批准的发掘方案发掘古生物化石的处罚</w:t>
            </w:r>
          </w:p>
        </w:tc>
        <w:tc>
          <w:tcPr>
            <w:tcW w:w="1192" w:type="dxa"/>
            <w:tcBorders>
              <w:top w:val="nil"/>
              <w:left w:val="nil"/>
              <w:bottom w:val="single" w:color="000000" w:sz="8" w:space="0"/>
              <w:right w:val="single" w:color="000000" w:sz="8" w:space="0"/>
            </w:tcBorders>
            <w:shd w:val="clear" w:color="auto" w:fill="auto"/>
            <w:vAlign w:val="center"/>
          </w:tcPr>
          <w:p w14:paraId="610D5BF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2554" w:type="dxa"/>
            <w:tcBorders>
              <w:top w:val="nil"/>
              <w:left w:val="nil"/>
              <w:bottom w:val="single" w:color="000000" w:sz="8" w:space="0"/>
              <w:right w:val="single" w:color="000000" w:sz="8" w:space="0"/>
            </w:tcBorders>
            <w:shd w:val="clear" w:color="auto" w:fill="auto"/>
            <w:vAlign w:val="center"/>
          </w:tcPr>
          <w:p w14:paraId="16D9875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《古生物化石保护条例》（2019修正）第三十六条、《古生物化石保护条例实施办法》第五十条</w:t>
            </w:r>
          </w:p>
        </w:tc>
        <w:tc>
          <w:tcPr>
            <w:tcW w:w="2913" w:type="dxa"/>
            <w:tcBorders>
              <w:top w:val="nil"/>
              <w:left w:val="nil"/>
              <w:bottom w:val="single" w:color="000000" w:sz="8" w:space="0"/>
              <w:right w:val="single" w:color="000000" w:sz="12" w:space="0"/>
            </w:tcBorders>
            <w:shd w:val="clear" w:color="auto" w:fill="auto"/>
            <w:vAlign w:val="center"/>
          </w:tcPr>
          <w:p w14:paraId="35EFCDA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南阳伏牛山地质公园保护发展中心</w:t>
            </w:r>
          </w:p>
        </w:tc>
      </w:tr>
      <w:tr w14:paraId="1C834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752" w:type="dxa"/>
            <w:tcBorders>
              <w:top w:val="nil"/>
              <w:left w:val="single" w:color="000000" w:sz="12" w:space="0"/>
              <w:bottom w:val="single" w:color="000000" w:sz="8" w:space="0"/>
              <w:right w:val="single" w:color="000000" w:sz="8" w:space="0"/>
            </w:tcBorders>
            <w:shd w:val="clear" w:color="auto" w:fill="auto"/>
            <w:vAlign w:val="center"/>
          </w:tcPr>
          <w:p w14:paraId="63222EB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154" w:type="dxa"/>
            <w:tcBorders>
              <w:top w:val="nil"/>
              <w:left w:val="nil"/>
              <w:bottom w:val="single" w:color="000000" w:sz="8" w:space="0"/>
              <w:right w:val="single" w:color="000000" w:sz="8" w:space="0"/>
            </w:tcBorders>
            <w:shd w:val="clear" w:color="auto" w:fill="auto"/>
            <w:vAlign w:val="center"/>
          </w:tcPr>
          <w:p w14:paraId="7FEA1DE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古生物化石发掘单位未按照规定移交发掘的古生物化石逾期不改正，或者造成古生物化石损毁的处罚</w:t>
            </w:r>
          </w:p>
        </w:tc>
        <w:tc>
          <w:tcPr>
            <w:tcW w:w="1192" w:type="dxa"/>
            <w:tcBorders>
              <w:top w:val="nil"/>
              <w:left w:val="nil"/>
              <w:bottom w:val="single" w:color="000000" w:sz="8" w:space="0"/>
              <w:right w:val="single" w:color="000000" w:sz="8" w:space="0"/>
            </w:tcBorders>
            <w:shd w:val="clear" w:color="auto" w:fill="auto"/>
            <w:vAlign w:val="center"/>
          </w:tcPr>
          <w:p w14:paraId="24A0EDE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2554" w:type="dxa"/>
            <w:tcBorders>
              <w:top w:val="nil"/>
              <w:left w:val="nil"/>
              <w:bottom w:val="single" w:color="000000" w:sz="8" w:space="0"/>
              <w:right w:val="single" w:color="000000" w:sz="8" w:space="0"/>
            </w:tcBorders>
            <w:shd w:val="clear" w:color="auto" w:fill="auto"/>
            <w:vAlign w:val="center"/>
          </w:tcPr>
          <w:p w14:paraId="7624BD2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《古生物化石保护条例》（2019修正）第三十七条、《古生物化石保护条例实施办法》（2019修正）第五十二条</w:t>
            </w:r>
          </w:p>
        </w:tc>
        <w:tc>
          <w:tcPr>
            <w:tcW w:w="2913" w:type="dxa"/>
            <w:tcBorders>
              <w:top w:val="nil"/>
              <w:left w:val="nil"/>
              <w:bottom w:val="single" w:color="000000" w:sz="8" w:space="0"/>
              <w:right w:val="single" w:color="000000" w:sz="12" w:space="0"/>
            </w:tcBorders>
            <w:shd w:val="clear" w:color="auto" w:fill="auto"/>
            <w:vAlign w:val="center"/>
          </w:tcPr>
          <w:p w14:paraId="110DE98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南阳伏牛山地质公园保护发展中心</w:t>
            </w:r>
          </w:p>
        </w:tc>
      </w:tr>
      <w:tr w14:paraId="2B3B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752" w:type="dxa"/>
            <w:tcBorders>
              <w:top w:val="nil"/>
              <w:left w:val="single" w:color="000000" w:sz="12" w:space="0"/>
              <w:bottom w:val="single" w:color="000000" w:sz="8" w:space="0"/>
              <w:right w:val="single" w:color="000000" w:sz="8" w:space="0"/>
            </w:tcBorders>
            <w:shd w:val="clear" w:color="auto" w:fill="auto"/>
            <w:vAlign w:val="center"/>
          </w:tcPr>
          <w:p w14:paraId="0FD6F42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3154" w:type="dxa"/>
            <w:tcBorders>
              <w:top w:val="nil"/>
              <w:left w:val="nil"/>
              <w:bottom w:val="single" w:color="000000" w:sz="8" w:space="0"/>
              <w:right w:val="single" w:color="000000" w:sz="8" w:space="0"/>
            </w:tcBorders>
            <w:shd w:val="clear" w:color="auto" w:fill="auto"/>
            <w:vAlign w:val="center"/>
          </w:tcPr>
          <w:p w14:paraId="5A8398E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古生物化石收藏单位不符合收藏条件收藏古生物化石的处罚</w:t>
            </w:r>
          </w:p>
        </w:tc>
        <w:tc>
          <w:tcPr>
            <w:tcW w:w="1192" w:type="dxa"/>
            <w:tcBorders>
              <w:top w:val="nil"/>
              <w:left w:val="nil"/>
              <w:bottom w:val="single" w:color="000000" w:sz="8" w:space="0"/>
              <w:right w:val="single" w:color="000000" w:sz="8" w:space="0"/>
            </w:tcBorders>
            <w:shd w:val="clear" w:color="auto" w:fill="auto"/>
            <w:vAlign w:val="center"/>
          </w:tcPr>
          <w:p w14:paraId="5A46F73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2554" w:type="dxa"/>
            <w:tcBorders>
              <w:top w:val="nil"/>
              <w:left w:val="nil"/>
              <w:bottom w:val="single" w:color="000000" w:sz="8" w:space="0"/>
              <w:right w:val="single" w:color="000000" w:sz="8" w:space="0"/>
            </w:tcBorders>
            <w:shd w:val="clear" w:color="auto" w:fill="auto"/>
            <w:vAlign w:val="center"/>
          </w:tcPr>
          <w:p w14:paraId="7A73643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《古生物化石保护条例》（2019修正）第三十八条、《古生物化石保护条例实施办法》第五十三条</w:t>
            </w:r>
          </w:p>
        </w:tc>
        <w:tc>
          <w:tcPr>
            <w:tcW w:w="2913" w:type="dxa"/>
            <w:tcBorders>
              <w:top w:val="nil"/>
              <w:left w:val="nil"/>
              <w:bottom w:val="single" w:color="000000" w:sz="8" w:space="0"/>
              <w:right w:val="single" w:color="000000" w:sz="12" w:space="0"/>
            </w:tcBorders>
            <w:shd w:val="clear" w:color="auto" w:fill="auto"/>
            <w:vAlign w:val="center"/>
          </w:tcPr>
          <w:p w14:paraId="2A4B802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南阳伏牛山地质公园保护发展中心</w:t>
            </w:r>
          </w:p>
        </w:tc>
      </w:tr>
      <w:tr w14:paraId="732D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752" w:type="dxa"/>
            <w:tcBorders>
              <w:top w:val="nil"/>
              <w:left w:val="single" w:color="000000" w:sz="12" w:space="0"/>
              <w:bottom w:val="single" w:color="000000" w:sz="8" w:space="0"/>
              <w:right w:val="single" w:color="000000" w:sz="8" w:space="0"/>
            </w:tcBorders>
            <w:shd w:val="clear" w:color="auto" w:fill="auto"/>
            <w:vAlign w:val="center"/>
          </w:tcPr>
          <w:p w14:paraId="52FFD5F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154" w:type="dxa"/>
            <w:tcBorders>
              <w:top w:val="nil"/>
              <w:left w:val="nil"/>
              <w:bottom w:val="single" w:color="000000" w:sz="8" w:space="0"/>
              <w:right w:val="single" w:color="000000" w:sz="8" w:space="0"/>
            </w:tcBorders>
            <w:shd w:val="clear" w:color="auto" w:fill="auto"/>
            <w:vAlign w:val="center"/>
          </w:tcPr>
          <w:p w14:paraId="36534D4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古生物化石收藏单位未按照规定建立本单位收藏的古生物化石档案的处罚</w:t>
            </w:r>
          </w:p>
        </w:tc>
        <w:tc>
          <w:tcPr>
            <w:tcW w:w="1192" w:type="dxa"/>
            <w:tcBorders>
              <w:top w:val="nil"/>
              <w:left w:val="nil"/>
              <w:bottom w:val="single" w:color="000000" w:sz="8" w:space="0"/>
              <w:right w:val="single" w:color="000000" w:sz="8" w:space="0"/>
            </w:tcBorders>
            <w:shd w:val="clear" w:color="auto" w:fill="auto"/>
            <w:vAlign w:val="center"/>
          </w:tcPr>
          <w:p w14:paraId="43C168B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2554" w:type="dxa"/>
            <w:tcBorders>
              <w:top w:val="nil"/>
              <w:left w:val="nil"/>
              <w:bottom w:val="single" w:color="000000" w:sz="8" w:space="0"/>
              <w:right w:val="single" w:color="000000" w:sz="8" w:space="0"/>
            </w:tcBorders>
            <w:shd w:val="clear" w:color="auto" w:fill="auto"/>
            <w:vAlign w:val="center"/>
          </w:tcPr>
          <w:p w14:paraId="38F9129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《古生物化石保护条例》（2019修正）第三十九条</w:t>
            </w:r>
          </w:p>
        </w:tc>
        <w:tc>
          <w:tcPr>
            <w:tcW w:w="2913" w:type="dxa"/>
            <w:tcBorders>
              <w:top w:val="nil"/>
              <w:left w:val="nil"/>
              <w:bottom w:val="single" w:color="000000" w:sz="8" w:space="0"/>
              <w:right w:val="single" w:color="000000" w:sz="12" w:space="0"/>
            </w:tcBorders>
            <w:shd w:val="clear" w:color="auto" w:fill="auto"/>
            <w:vAlign w:val="center"/>
          </w:tcPr>
          <w:p w14:paraId="440BDF5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南阳伏牛山地质公园保护发展中心</w:t>
            </w:r>
          </w:p>
        </w:tc>
      </w:tr>
      <w:tr w14:paraId="4E79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752" w:type="dxa"/>
            <w:tcBorders>
              <w:top w:val="nil"/>
              <w:left w:val="single" w:color="000000" w:sz="12" w:space="0"/>
              <w:bottom w:val="single" w:color="000000" w:sz="8" w:space="0"/>
              <w:right w:val="single" w:color="000000" w:sz="8" w:space="0"/>
            </w:tcBorders>
            <w:shd w:val="clear" w:color="auto" w:fill="auto"/>
            <w:vAlign w:val="center"/>
          </w:tcPr>
          <w:p w14:paraId="5B286BC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3154" w:type="dxa"/>
            <w:tcBorders>
              <w:top w:val="nil"/>
              <w:left w:val="nil"/>
              <w:bottom w:val="single" w:color="000000" w:sz="8" w:space="0"/>
              <w:right w:val="single" w:color="000000" w:sz="8" w:space="0"/>
            </w:tcBorders>
            <w:shd w:val="clear" w:color="auto" w:fill="auto"/>
            <w:vAlign w:val="center"/>
          </w:tcPr>
          <w:p w14:paraId="28D7CFA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国有收藏单位将其收藏的重点保护古生物化石违法转让、交换、赠予给非国有收藏单位或者个人的处罚</w:t>
            </w:r>
          </w:p>
        </w:tc>
        <w:tc>
          <w:tcPr>
            <w:tcW w:w="1192" w:type="dxa"/>
            <w:tcBorders>
              <w:top w:val="nil"/>
              <w:left w:val="nil"/>
              <w:bottom w:val="single" w:color="000000" w:sz="8" w:space="0"/>
              <w:right w:val="single" w:color="000000" w:sz="8" w:space="0"/>
            </w:tcBorders>
            <w:shd w:val="clear" w:color="auto" w:fill="auto"/>
            <w:vAlign w:val="center"/>
          </w:tcPr>
          <w:p w14:paraId="10A3DCF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2554" w:type="dxa"/>
            <w:tcBorders>
              <w:top w:val="nil"/>
              <w:left w:val="nil"/>
              <w:bottom w:val="single" w:color="000000" w:sz="8" w:space="0"/>
              <w:right w:val="single" w:color="000000" w:sz="8" w:space="0"/>
            </w:tcBorders>
            <w:shd w:val="clear" w:color="auto" w:fill="auto"/>
            <w:vAlign w:val="center"/>
          </w:tcPr>
          <w:p w14:paraId="0F56E52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《古生物化石保护条例》（2019修正）第四十一条、《古生物化石保护条例实施办法》（2019修正）第五十五条</w:t>
            </w:r>
          </w:p>
        </w:tc>
        <w:tc>
          <w:tcPr>
            <w:tcW w:w="2913" w:type="dxa"/>
            <w:tcBorders>
              <w:top w:val="nil"/>
              <w:left w:val="nil"/>
              <w:bottom w:val="single" w:color="000000" w:sz="8" w:space="0"/>
              <w:right w:val="single" w:color="000000" w:sz="12" w:space="0"/>
            </w:tcBorders>
            <w:shd w:val="clear" w:color="auto" w:fill="auto"/>
            <w:vAlign w:val="center"/>
          </w:tcPr>
          <w:p w14:paraId="6B5EB91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南阳伏牛山地质公园保护发展中心</w:t>
            </w:r>
          </w:p>
        </w:tc>
      </w:tr>
      <w:tr w14:paraId="5418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752" w:type="dxa"/>
            <w:tcBorders>
              <w:top w:val="nil"/>
              <w:left w:val="single" w:color="000000" w:sz="12" w:space="0"/>
              <w:bottom w:val="single" w:color="000000" w:sz="8" w:space="0"/>
              <w:right w:val="single" w:color="000000" w:sz="8" w:space="0"/>
            </w:tcBorders>
            <w:shd w:val="clear" w:color="auto" w:fill="auto"/>
            <w:vAlign w:val="center"/>
          </w:tcPr>
          <w:p w14:paraId="57952B0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154" w:type="dxa"/>
            <w:tcBorders>
              <w:top w:val="nil"/>
              <w:left w:val="nil"/>
              <w:bottom w:val="single" w:color="000000" w:sz="8" w:space="0"/>
              <w:right w:val="single" w:color="000000" w:sz="8" w:space="0"/>
            </w:tcBorders>
            <w:shd w:val="clear" w:color="auto" w:fill="auto"/>
            <w:vAlign w:val="center"/>
          </w:tcPr>
          <w:p w14:paraId="5BF5589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单位或者个人将其收藏的重点保护古生物化石转让、交换、赠予、质押给外国人或者外国组织的处罚</w:t>
            </w:r>
          </w:p>
        </w:tc>
        <w:tc>
          <w:tcPr>
            <w:tcW w:w="1192" w:type="dxa"/>
            <w:tcBorders>
              <w:top w:val="nil"/>
              <w:left w:val="nil"/>
              <w:bottom w:val="single" w:color="000000" w:sz="8" w:space="0"/>
              <w:right w:val="single" w:color="000000" w:sz="8" w:space="0"/>
            </w:tcBorders>
            <w:shd w:val="clear" w:color="auto" w:fill="auto"/>
            <w:vAlign w:val="center"/>
          </w:tcPr>
          <w:p w14:paraId="769B1BE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2554" w:type="dxa"/>
            <w:tcBorders>
              <w:top w:val="nil"/>
              <w:left w:val="nil"/>
              <w:bottom w:val="single" w:color="000000" w:sz="8" w:space="0"/>
              <w:right w:val="single" w:color="000000" w:sz="8" w:space="0"/>
            </w:tcBorders>
            <w:shd w:val="clear" w:color="auto" w:fill="auto"/>
            <w:vAlign w:val="center"/>
          </w:tcPr>
          <w:p w14:paraId="0DD365D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《古生物化石保护条例》（2019修正）第四十二条、《古生物化石保护条例实施办法》第五十六条</w:t>
            </w:r>
          </w:p>
        </w:tc>
        <w:tc>
          <w:tcPr>
            <w:tcW w:w="2913" w:type="dxa"/>
            <w:tcBorders>
              <w:top w:val="nil"/>
              <w:left w:val="nil"/>
              <w:bottom w:val="single" w:color="000000" w:sz="8" w:space="0"/>
              <w:right w:val="single" w:color="000000" w:sz="12" w:space="0"/>
            </w:tcBorders>
            <w:shd w:val="clear" w:color="auto" w:fill="auto"/>
            <w:vAlign w:val="center"/>
          </w:tcPr>
          <w:p w14:paraId="28B0AEB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南阳伏牛山地质公园保护发展中心</w:t>
            </w:r>
          </w:p>
        </w:tc>
      </w:tr>
      <w:tr w14:paraId="2866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752" w:type="dxa"/>
            <w:tcBorders>
              <w:top w:val="nil"/>
              <w:left w:val="single" w:color="000000" w:sz="12" w:space="0"/>
              <w:bottom w:val="single" w:color="000000" w:sz="8" w:space="0"/>
              <w:right w:val="single" w:color="000000" w:sz="8" w:space="0"/>
            </w:tcBorders>
            <w:shd w:val="clear" w:color="auto" w:fill="auto"/>
            <w:vAlign w:val="center"/>
          </w:tcPr>
          <w:p w14:paraId="7F5E14F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3154" w:type="dxa"/>
            <w:tcBorders>
              <w:top w:val="nil"/>
              <w:left w:val="nil"/>
              <w:bottom w:val="single" w:color="000000" w:sz="8" w:space="0"/>
              <w:right w:val="single" w:color="000000" w:sz="8" w:space="0"/>
            </w:tcBorders>
            <w:shd w:val="clear" w:color="auto" w:fill="auto"/>
            <w:vAlign w:val="center"/>
          </w:tcPr>
          <w:p w14:paraId="2DDFC55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单位或者个人在生产、建设活动中发现古生物化石不报告的处罚</w:t>
            </w:r>
          </w:p>
        </w:tc>
        <w:tc>
          <w:tcPr>
            <w:tcW w:w="1192" w:type="dxa"/>
            <w:tcBorders>
              <w:top w:val="nil"/>
              <w:left w:val="nil"/>
              <w:bottom w:val="single" w:color="000000" w:sz="8" w:space="0"/>
              <w:right w:val="single" w:color="000000" w:sz="8" w:space="0"/>
            </w:tcBorders>
            <w:shd w:val="clear" w:color="auto" w:fill="auto"/>
            <w:vAlign w:val="center"/>
          </w:tcPr>
          <w:p w14:paraId="47779E5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2554" w:type="dxa"/>
            <w:tcBorders>
              <w:top w:val="nil"/>
              <w:left w:val="nil"/>
              <w:bottom w:val="single" w:color="000000" w:sz="8" w:space="0"/>
              <w:right w:val="single" w:color="000000" w:sz="8" w:space="0"/>
            </w:tcBorders>
            <w:shd w:val="clear" w:color="auto" w:fill="auto"/>
            <w:vAlign w:val="center"/>
          </w:tcPr>
          <w:p w14:paraId="61A97F5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《古生物化石保护条例实施办法》（2019修正）第五十一条</w:t>
            </w:r>
          </w:p>
        </w:tc>
        <w:tc>
          <w:tcPr>
            <w:tcW w:w="2913" w:type="dxa"/>
            <w:tcBorders>
              <w:top w:val="nil"/>
              <w:left w:val="nil"/>
              <w:bottom w:val="single" w:color="000000" w:sz="8" w:space="0"/>
              <w:right w:val="single" w:color="000000" w:sz="12" w:space="0"/>
            </w:tcBorders>
            <w:shd w:val="clear" w:color="auto" w:fill="auto"/>
            <w:vAlign w:val="center"/>
          </w:tcPr>
          <w:p w14:paraId="116CAA7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南阳伏牛山地质公园保护发展中心</w:t>
            </w:r>
          </w:p>
        </w:tc>
      </w:tr>
      <w:tr w14:paraId="6DF5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752" w:type="dxa"/>
            <w:tcBorders>
              <w:top w:val="nil"/>
              <w:left w:val="single" w:color="000000" w:sz="12" w:space="0"/>
              <w:bottom w:val="single" w:color="000000" w:sz="8" w:space="0"/>
              <w:right w:val="single" w:color="000000" w:sz="8" w:space="0"/>
            </w:tcBorders>
            <w:shd w:val="clear" w:color="auto" w:fill="auto"/>
            <w:vAlign w:val="center"/>
          </w:tcPr>
          <w:p w14:paraId="1C43FC0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3154" w:type="dxa"/>
            <w:tcBorders>
              <w:top w:val="nil"/>
              <w:left w:val="nil"/>
              <w:bottom w:val="single" w:color="000000" w:sz="12" w:space="0"/>
              <w:right w:val="single" w:color="000000" w:sz="8" w:space="0"/>
            </w:tcBorders>
            <w:shd w:val="clear" w:color="auto" w:fill="auto"/>
            <w:vAlign w:val="center"/>
          </w:tcPr>
          <w:p w14:paraId="2170917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收藏违法获得或者不能证明合法来源的重点保护古生物化石的处罚</w:t>
            </w:r>
          </w:p>
        </w:tc>
        <w:tc>
          <w:tcPr>
            <w:tcW w:w="1192" w:type="dxa"/>
            <w:tcBorders>
              <w:top w:val="nil"/>
              <w:left w:val="nil"/>
              <w:bottom w:val="single" w:color="000000" w:sz="12" w:space="0"/>
              <w:right w:val="single" w:color="000000" w:sz="8" w:space="0"/>
            </w:tcBorders>
            <w:shd w:val="clear" w:color="auto" w:fill="auto"/>
            <w:vAlign w:val="center"/>
          </w:tcPr>
          <w:p w14:paraId="605DBC6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2554" w:type="dxa"/>
            <w:tcBorders>
              <w:top w:val="nil"/>
              <w:left w:val="nil"/>
              <w:bottom w:val="single" w:color="000000" w:sz="12" w:space="0"/>
              <w:right w:val="single" w:color="000000" w:sz="8" w:space="0"/>
            </w:tcBorders>
            <w:shd w:val="clear" w:color="auto" w:fill="auto"/>
            <w:vAlign w:val="center"/>
          </w:tcPr>
          <w:p w14:paraId="468F213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《古生物化石保护条例实施办法》第五十四条</w:t>
            </w:r>
          </w:p>
        </w:tc>
        <w:tc>
          <w:tcPr>
            <w:tcW w:w="2913" w:type="dxa"/>
            <w:tcBorders>
              <w:top w:val="nil"/>
              <w:left w:val="nil"/>
              <w:bottom w:val="single" w:color="000000" w:sz="12" w:space="0"/>
              <w:right w:val="single" w:color="000000" w:sz="12" w:space="0"/>
            </w:tcBorders>
            <w:shd w:val="clear" w:color="auto" w:fill="auto"/>
            <w:vAlign w:val="center"/>
          </w:tcPr>
          <w:p w14:paraId="5470397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南阳伏牛山地质公园保护发展中心</w:t>
            </w:r>
          </w:p>
        </w:tc>
      </w:tr>
    </w:tbl>
    <w:p w14:paraId="1FB0A532">
      <w:pPr>
        <w:widowControl w:val="0"/>
        <w:topLinePunct/>
        <w:bidi w:val="0"/>
        <w:spacing w:before="0" w:beforeAutospacing="0" w:after="0" w:afterAutospacing="0" w:line="560" w:lineRule="exact"/>
        <w:ind w:firstLine="643" w:firstLineChars="200"/>
        <w:jc w:val="left"/>
        <w:outlineLvl w:val="0"/>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二、双方权责</w:t>
      </w:r>
    </w:p>
    <w:p w14:paraId="08922A9C">
      <w:pPr>
        <w:pStyle w:val="3"/>
        <w:bidi w:val="0"/>
        <w:rPr>
          <w:rFonts w:hint="eastAsia"/>
          <w:lang w:val="en-US" w:eastAsia="zh-CN"/>
        </w:rPr>
      </w:pPr>
      <w:r>
        <w:rPr>
          <w:rFonts w:hint="eastAsia"/>
          <w:lang w:val="en-US" w:eastAsia="zh-CN"/>
        </w:rPr>
        <w:t>（一）委托单位的权责</w:t>
      </w:r>
    </w:p>
    <w:p w14:paraId="5B085C2E">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1.指导和监督受委托单位在委托权限内以委托单位名义实施行政行为。</w:t>
      </w:r>
    </w:p>
    <w:p w14:paraId="3995F878">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2.对受委托单位违法或者不适当的行政行为予以纠正或者撤销。</w:t>
      </w:r>
    </w:p>
    <w:p w14:paraId="2407D712">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3.通过日常检查、随机抽查等形式监督委托事项实施；发现问题的，有权立即责令受托方限期整改，逾期未整改的，委托方有权暂停委托权限。</w:t>
      </w:r>
    </w:p>
    <w:p w14:paraId="5940CA3C">
      <w:pPr>
        <w:pStyle w:val="3"/>
        <w:bidi w:val="0"/>
        <w:rPr>
          <w:rFonts w:hint="eastAsia"/>
          <w:lang w:val="en-US" w:eastAsia="zh-CN"/>
        </w:rPr>
      </w:pPr>
      <w:r>
        <w:rPr>
          <w:rFonts w:hint="eastAsia"/>
          <w:lang w:val="en-US" w:eastAsia="zh-CN"/>
        </w:rPr>
        <w:t>（二）受委托单位的权责</w:t>
      </w:r>
    </w:p>
    <w:p w14:paraId="330AA481">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1.受委托单位必须以委托单位的名义，在委托的权限、期限和范围内实施行政</w:t>
      </w:r>
      <w:r>
        <w:rPr>
          <w:rFonts w:hint="eastAsia" w:cs="仿宋"/>
          <w:kern w:val="2"/>
          <w:sz w:val="32"/>
          <w:szCs w:val="24"/>
          <w:lang w:val="en-US" w:eastAsia="zh-CN" w:bidi="ar-SA"/>
        </w:rPr>
        <w:t>事项</w:t>
      </w:r>
      <w:r>
        <w:rPr>
          <w:rFonts w:hint="eastAsia" w:ascii="仿宋" w:hAnsi="仿宋" w:eastAsia="仿宋" w:cs="仿宋"/>
          <w:kern w:val="2"/>
          <w:sz w:val="32"/>
          <w:szCs w:val="24"/>
          <w:lang w:val="en-US" w:eastAsia="zh-CN" w:bidi="ar-SA"/>
        </w:rPr>
        <w:t>。</w:t>
      </w:r>
    </w:p>
    <w:p w14:paraId="7448CAE2">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2.受委托单位不得再委托其他任何组织或者个人实施委托事项。</w:t>
      </w:r>
    </w:p>
    <w:p w14:paraId="29BBD2A4">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3.接受委托单位的指导和监督。</w:t>
      </w:r>
    </w:p>
    <w:p w14:paraId="2CF3FCA7">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4.受委托单位需每半年向委托单位汇报委托事项实施情况。</w:t>
      </w:r>
    </w:p>
    <w:p w14:paraId="5C72E0FE">
      <w:pPr>
        <w:widowControl w:val="0"/>
        <w:topLinePunct/>
        <w:bidi w:val="0"/>
        <w:spacing w:before="0" w:beforeAutospacing="0" w:after="0" w:afterAutospacing="0" w:line="560" w:lineRule="exact"/>
        <w:ind w:firstLine="643" w:firstLineChars="200"/>
        <w:jc w:val="left"/>
        <w:outlineLvl w:val="0"/>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三、委托期限</w:t>
      </w:r>
    </w:p>
    <w:p w14:paraId="33D8BC32">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本委托权限自2025年9月1日至2030年9月1日。</w:t>
      </w:r>
    </w:p>
    <w:p w14:paraId="22E3FC6D">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期满需要继续委托的，应重新签订委托书。</w:t>
      </w:r>
    </w:p>
    <w:p w14:paraId="257702EB">
      <w:pPr>
        <w:widowControl w:val="0"/>
        <w:topLinePunct/>
        <w:bidi w:val="0"/>
        <w:spacing w:before="0" w:beforeAutospacing="0" w:after="0" w:afterAutospacing="0" w:line="560" w:lineRule="exact"/>
        <w:ind w:firstLine="643" w:firstLineChars="200"/>
        <w:jc w:val="left"/>
        <w:outlineLvl w:val="0"/>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四、其他事项</w:t>
      </w:r>
    </w:p>
    <w:p w14:paraId="3320F3E8">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本委托书需通过政府网站同步向社会公示。</w:t>
      </w:r>
    </w:p>
    <w:p w14:paraId="33F2DCDB">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本委托书一式二份，委托单位和受委托单位各执一份。</w:t>
      </w:r>
    </w:p>
    <w:p w14:paraId="4C086F45">
      <w:pPr>
        <w:ind w:left="0" w:leftChars="0" w:firstLine="0" w:firstLineChars="0"/>
        <w:rPr>
          <w:rFonts w:hint="eastAsia"/>
          <w:lang w:val="en-US" w:eastAsia="zh-CN"/>
        </w:rPr>
      </w:pPr>
    </w:p>
    <w:p w14:paraId="1B6B7345">
      <w:pPr>
        <w:ind w:left="0" w:leftChars="0" w:firstLine="0" w:firstLineChars="0"/>
        <w:rPr>
          <w:rFonts w:hint="eastAsia"/>
          <w:lang w:val="en-US" w:eastAsia="zh-CN"/>
        </w:rPr>
      </w:pPr>
    </w:p>
    <w:p w14:paraId="6564BF95">
      <w:pPr>
        <w:ind w:left="0" w:leftChars="0" w:firstLine="0" w:firstLineChars="0"/>
        <w:rPr>
          <w:rFonts w:hint="default"/>
          <w:lang w:val="en-US" w:eastAsia="zh-CN"/>
        </w:rPr>
      </w:pPr>
    </w:p>
    <w:p w14:paraId="29F0EB2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10775"/>
    <w:rsid w:val="01FF7AE1"/>
    <w:rsid w:val="08220675"/>
    <w:rsid w:val="0C197FC3"/>
    <w:rsid w:val="116E6768"/>
    <w:rsid w:val="1EA529D6"/>
    <w:rsid w:val="1F9A4DA0"/>
    <w:rsid w:val="24B45E33"/>
    <w:rsid w:val="26D22C1A"/>
    <w:rsid w:val="2712201D"/>
    <w:rsid w:val="29C04DB7"/>
    <w:rsid w:val="2AF6220E"/>
    <w:rsid w:val="2E8C13F6"/>
    <w:rsid w:val="31486002"/>
    <w:rsid w:val="3DC10775"/>
    <w:rsid w:val="43E0566E"/>
    <w:rsid w:val="44D12920"/>
    <w:rsid w:val="46F014C3"/>
    <w:rsid w:val="504970BD"/>
    <w:rsid w:val="529F2DD9"/>
    <w:rsid w:val="59A7037B"/>
    <w:rsid w:val="5C9F19B2"/>
    <w:rsid w:val="64137066"/>
    <w:rsid w:val="672D3D08"/>
    <w:rsid w:val="69BD10B7"/>
    <w:rsid w:val="6F8E0E92"/>
    <w:rsid w:val="77EA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 w:hAnsi="仿宋" w:eastAsia="仿宋" w:cs="仿宋"/>
      <w:kern w:val="2"/>
      <w:sz w:val="32"/>
      <w:szCs w:val="24"/>
      <w:lang w:val="en-US" w:eastAsia="zh-CN" w:bidi="ar-SA"/>
    </w:rPr>
  </w:style>
  <w:style w:type="paragraph" w:styleId="2">
    <w:name w:val="heading 1"/>
    <w:basedOn w:val="1"/>
    <w:next w:val="1"/>
    <w:qFormat/>
    <w:uiPriority w:val="0"/>
    <w:pPr>
      <w:widowControl w:val="0"/>
      <w:topLinePunct/>
      <w:spacing w:before="0" w:beforeAutospacing="0" w:after="0" w:afterAutospacing="0" w:line="560" w:lineRule="exact"/>
      <w:ind w:firstLine="883" w:firstLineChars="200"/>
      <w:jc w:val="left"/>
      <w:outlineLvl w:val="0"/>
    </w:pPr>
    <w:rPr>
      <w:rFonts w:hint="eastAsia" w:ascii="宋体" w:hAnsi="宋体" w:eastAsia="黑体" w:cs="宋体"/>
      <w:b/>
      <w:bCs/>
      <w:kern w:val="44"/>
      <w:szCs w:val="48"/>
      <w:lang w:bidi="ar"/>
    </w:rPr>
  </w:style>
  <w:style w:type="paragraph" w:styleId="3">
    <w:name w:val="heading 2"/>
    <w:next w:val="1"/>
    <w:unhideWhenUsed/>
    <w:qFormat/>
    <w:uiPriority w:val="0"/>
    <w:pPr>
      <w:keepNext/>
      <w:keepLines/>
      <w:spacing w:beforeLines="0" w:beforeAutospacing="0" w:afterLines="0" w:afterAutospacing="0" w:line="560" w:lineRule="exact"/>
      <w:ind w:firstLine="883" w:firstLineChars="200"/>
      <w:outlineLvl w:val="1"/>
    </w:pPr>
    <w:rPr>
      <w:rFonts w:ascii="Arial" w:hAnsi="Arial" w:eastAsia="楷体" w:cs="Times New Roman"/>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题目"/>
    <w:next w:val="1"/>
    <w:link w:val="10"/>
    <w:qFormat/>
    <w:uiPriority w:val="0"/>
    <w:pPr>
      <w:keepNext/>
      <w:keepLines/>
      <w:spacing w:beforeLines="0" w:afterLines="0" w:line="640" w:lineRule="exact"/>
      <w:ind w:firstLine="0"/>
      <w:jc w:val="center"/>
      <w:outlineLvl w:val="1"/>
    </w:pPr>
    <w:rPr>
      <w:rFonts w:hint="default" w:ascii="方正小标宋简体" w:hAnsi="方正小标宋简体" w:eastAsia="方正小标宋简体" w:cs="Times New Roman"/>
      <w:sz w:val="44"/>
    </w:rPr>
  </w:style>
  <w:style w:type="character" w:customStyle="1" w:styleId="10">
    <w:name w:val="题目 Char"/>
    <w:link w:val="9"/>
    <w:qFormat/>
    <w:uiPriority w:val="0"/>
    <w:rPr>
      <w:rFonts w:hint="default" w:ascii="方正小标宋简体" w:hAnsi="方正小标宋简体" w:eastAsia="方正小标宋简体" w:cs="Times New Roman"/>
      <w:sz w:val="44"/>
    </w:rPr>
  </w:style>
  <w:style w:type="character" w:customStyle="1" w:styleId="11">
    <w:name w:val="font41"/>
    <w:basedOn w:val="7"/>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871</Words>
  <Characters>898</Characters>
  <Lines>0</Lines>
  <Paragraphs>0</Paragraphs>
  <TotalTime>2</TotalTime>
  <ScaleCrop>false</ScaleCrop>
  <LinksUpToDate>false</LinksUpToDate>
  <CharactersWithSpaces>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2025-08-29T02:59:00Z</dcterms:created>
  <dc:creator>segio</dc:creator>
  <cp:lastModifiedBy>ljs</cp:lastModifiedBy>
  <dcterms:modified xsi:type="dcterms:W3CDTF">2025-09-24T08:01:58Z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A49C3F4885924CCA8FCA1AAE3091AF41_13</vt:lpwstr>
  </property>
  <property fmtid="{D5CDD505-2E9C-101B-9397-08002B2CF9AE}" pid="4" name="KSOTemplateDocerSaveRecord">
    <vt:lpwstr>eyJoZGlkIjoiYzkyNzMyZTcwZDM1M2FkOWVjNDliMTg3MmU4ZWQwYWMiLCJ1c2VySWQiOiI0OTA2MDM0MzMifQ==</vt:lpwstr>
  </property>
</Properties>
</file>